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3"/>
        <w:spacing w:before="185" w:after="185" w:line="312" w:lineRule="atLeast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31"/>
        </w:rPr>
      </w:pPr>
      <w:r>
        <w:rPr>
          <w:color w:val="000000"/>
          <w:sz w:val="31"/>
        </w:rPr>
        <w:t>МОУ Шэръягская основная общеобразовательная школа</w:t>
      </w:r>
    </w:p>
    <w:tbl>
      <w:tblPr>
        <w:name w:val="Таблица1"/>
        <w:tabOrder w:val="0"/>
        <w:jc w:val="left"/>
        <w:tblInd w:w="0" w:type="dxa"/>
        <w:tblW w:w="9899" w:type="dxa"/>
      </w:tblPr>
      <w:tblGrid>
        <w:gridCol w:w="5940"/>
        <w:gridCol w:w="3959"/>
      </w:tblGrid>
      <w:tr>
        <w:trPr>
          <w:tblHeader w:val="0"/>
          <w:cantSplit w:val="0"/>
          <w:trHeight w:val="0" w:hRule="auto"/>
        </w:trPr>
        <w:tc>
          <w:tcPr>
            <w:tcW w:w="59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00346839" protected="0"/>
          </w:tcPr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Принято </w:t>
            </w:r>
          </w:p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>решением педагогического совета</w:t>
            </w:r>
          </w:p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>МОУ Шэръягской ООШ</w:t>
            </w:r>
          </w:p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>протокол № 150 от 1.06.2020 г.</w:t>
            </w:r>
          </w:p>
        </w:tc>
        <w:tc>
          <w:tcPr>
            <w:tcW w:w="39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00346839" protected="0"/>
          </w:tcPr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Утверждено </w:t>
            </w:r>
          </w:p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>приказом МОУ Шэръягской ООШ</w:t>
            </w:r>
          </w:p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eastAsia="Calibri"/>
                <w:sz w:val="24"/>
                <w:szCs w:val="24"/>
                <w:u w:color="auto" w:val="single"/>
                <w:lang w:val="ru-ru" w:bidi="ar-sa"/>
              </w:rPr>
              <w:t xml:space="preserve">73/1 </w:t>
            </w: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   от _</w:t>
            </w:r>
            <w:r>
              <w:rPr>
                <w:rFonts w:eastAsia="Calibri"/>
                <w:sz w:val="24"/>
                <w:szCs w:val="24"/>
                <w:u w:color="auto" w:val="single"/>
                <w:lang w:val="ru-ru" w:bidi="ar-sa"/>
              </w:rPr>
              <w:t>28.06.2020</w:t>
            </w:r>
            <w:r>
              <w:rPr>
                <w:rFonts w:eastAsia="Calibri"/>
                <w:sz w:val="24"/>
                <w:szCs w:val="24"/>
                <w:lang w:val="ru-ru" w:bidi="ar-sa"/>
              </w:rPr>
              <w:t>_г.</w:t>
            </w:r>
          </w:p>
          <w:p>
            <w:pPr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ru-ru" w:bidi="ru-ru"/>
        </w:rPr>
      </w:pPr>
      <w:r>
        <w:rPr>
          <w:lang w:val="ru-ru" w:bidi="ru-ru"/>
        </w:rPr>
      </w:r>
    </w:p>
    <w:p>
      <w:r/>
    </w:p>
    <w:p>
      <w:pPr>
        <w:pStyle w:val="para3"/>
        <w:spacing w:before="185" w:after="185" w:line="312" w:lineRule="atLeast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31"/>
        </w:rPr>
      </w:pPr>
      <w:r>
        <w:rPr>
          <w:color w:val="000000"/>
          <w:sz w:val="31"/>
        </w:rPr>
        <w:t>Правила обмена деловыми подарками и знаками делового гостеприимства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1.Деловые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2. Подарки, которые работники от имени МОУ Шэръягской ООШ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- Быть прямо связаны с уставными целями деятельности (презентация творческого проекта, успешное исполнение контракта, завершение ответственного проекта и т.п.) либо с памятными датами, юбилеями, общенациональными праздниками и т.д.;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- Быть разумно обоснованными, соразмерными и не являться предметами роскоши;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иной неэтической целью;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- Не создавать репутационного риска для Школы, работников или иных лиц в случае раскрытия информации о совершенных подарках и понесенных представительских расходах;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- Не противоречить принципам и требованиям антикоррупционной политики Школы, кодекса деловой этики и другим локальным документам ОУ, действующему законодательству и общепринятым нормам морали и нравственности.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3. Работники, представляя интересы МОУ Шэръягской ООШ или действуя от имени образовательной организации, должны понимать границы допустимого поведения при обмене деловыми подарками и оказании делового гостеприимства.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5. Работники Школы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образовательной организацией решения и т.д.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6. При любых сомнениях в правомерности или этичности своих действий работники обязаны поставить в известность своих непосредственных руководителей или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7. Не допускается передавать и принимать подарки от имени Школы,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8. Не допускается принимать подарки и т.д. в ходе проведения торгов и во время прямых переговоров при заключении договоров (контрактов).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9. В случае осуществления спонсорских, благотворительных программ и мероприятий необходимо предварительно удостовериться, что предоставляемая помощь не будет использована в коррупционных целях или иным незаконным путем. 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 правового характера.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19"/>
      <w:tmLastPosIdx w:val="149"/>
    </w:tmLastPosCaret>
    <w:tmLastPosAnchor>
      <w:tmLastPosPgfIdx w:val="0"/>
      <w:tmLastPosIdx w:val="0"/>
    </w:tmLastPosAnchor>
    <w:tmLastPosTblRect w:left="0" w:top="0" w:right="0" w:bottom="0"/>
  </w:tmLastPos>
  <w:tmAppRevision w:date="1600346839" w:val="971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Земфира Вадимовна</cp:lastModifiedBy>
  <cp:revision>1</cp:revision>
  <dcterms:created xsi:type="dcterms:W3CDTF">2020-09-17T12:39:26Z</dcterms:created>
  <dcterms:modified xsi:type="dcterms:W3CDTF">2020-09-17T12:47:19Z</dcterms:modified>
</cp:coreProperties>
</file>